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709" w:leader="none"/>
        </w:tabs>
        <w:spacing w:lineRule="auto" w:line="276" w:before="0" w:after="200"/>
        <w:rPr>
          <w:rFonts w:ascii="Calibri" w:hAnsi="Calibri" w:eastAsia="Calibri"/>
          <w:sz w:val="28"/>
          <w:szCs w:val="28"/>
          <w:lang w:eastAsia="en-US"/>
        </w:rPr>
      </w:pPr>
      <w:r>
        <w:rPr>
          <w:rFonts w:eastAsia="Calibri" w:ascii="PT Astra Serif" w:hAnsi="PT Astra Serif"/>
          <w:sz w:val="28"/>
          <w:szCs w:val="28"/>
          <w:lang w:eastAsia="en-US"/>
        </w:rPr>
        <w:t xml:space="preserve">                                                                                                                      </w:t>
      </w:r>
      <w:r>
        <w:rPr>
          <w:rFonts w:eastAsia="Calibri" w:ascii="PT Astra Serif" w:hAnsi="PT Astra Serif"/>
          <w:sz w:val="28"/>
          <w:szCs w:val="28"/>
          <w:lang w:eastAsia="en-US"/>
        </w:rPr>
        <w:t>ПРОЕКТ</w:t>
      </w:r>
    </w:p>
    <w:p>
      <w:pPr>
        <w:pStyle w:val="Normal"/>
        <w:tabs>
          <w:tab w:val="clear" w:pos="720"/>
          <w:tab w:val="left" w:pos="709" w:leader="none"/>
        </w:tabs>
        <w:spacing w:lineRule="auto" w:line="276" w:before="0" w:after="200"/>
        <w:rPr>
          <w:rFonts w:ascii="Calibri" w:hAnsi="Calibri" w:eastAsia="Calibri"/>
          <w:sz w:val="28"/>
          <w:szCs w:val="28"/>
          <w:lang w:eastAsia="en-US"/>
        </w:rPr>
      </w:pPr>
      <w:r>
        <w:rPr>
          <w:rFonts w:eastAsia="Calibri" w:ascii="Calibri" w:hAnsi="Calibri"/>
          <w:sz w:val="28"/>
          <w:szCs w:val="28"/>
          <w:lang w:eastAsia="en-US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margin">
              <wp:posOffset>292735</wp:posOffset>
            </wp:positionV>
            <wp:extent cx="674370" cy="670560"/>
            <wp:effectExtent l="0" t="0" r="0" b="0"/>
            <wp:wrapSquare wrapText="bothSides"/>
            <wp:docPr id="1" name="Рисунок 1" descr="Описание: http://im7-tub-ru.yandex.net/i?id=323583498-0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http://im7-tub-ru.yandex.net/i?id=323583498-09-72&amp;n=2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76" w:before="0" w:after="200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 w:ascii="Calibri" w:hAnsi="Calibri"/>
          <w:sz w:val="22"/>
          <w:szCs w:val="22"/>
          <w:lang w:eastAsia="en-US"/>
        </w:rPr>
      </w:r>
    </w:p>
    <w:p>
      <w:pPr>
        <w:pStyle w:val="Normal"/>
        <w:spacing w:lineRule="auto" w:line="276"/>
        <w:jc w:val="center"/>
        <w:rPr>
          <w:rFonts w:eastAsia="Calibri"/>
          <w:b/>
          <w:sz w:val="8"/>
          <w:szCs w:val="8"/>
          <w:lang w:eastAsia="en-US"/>
        </w:rPr>
      </w:pPr>
      <w:r>
        <w:rPr>
          <w:rFonts w:eastAsia="Calibri"/>
          <w:b/>
          <w:sz w:val="8"/>
          <w:szCs w:val="8"/>
          <w:lang w:eastAsia="en-US"/>
        </w:rPr>
      </w:r>
    </w:p>
    <w:p>
      <w:pPr>
        <w:pStyle w:val="Normal"/>
        <w:spacing w:lineRule="auto" w:line="276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ДЕПАРТАМЕНТ ПРИРОДНЫХ РЕСУРСОВ И ЭКОЛОГИИ БРЯНСКОЙ ОБЛАСТИ</w:t>
      </w:r>
    </w:p>
    <w:p>
      <w:pPr>
        <w:pStyle w:val="Normal"/>
        <w:jc w:val="center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center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  <w:u w:val="single"/>
        </w:rPr>
      </w:pPr>
      <w:r>
        <w:rPr>
          <w:sz w:val="28"/>
          <w:szCs w:val="28"/>
        </w:rPr>
        <w:t>от «___» _________2025 года № ___</w:t>
      </w:r>
    </w:p>
    <w:p>
      <w:pPr>
        <w:pStyle w:val="Normal"/>
        <w:tabs>
          <w:tab w:val="clear" w:pos="720"/>
          <w:tab w:val="left" w:pos="426" w:leader="none"/>
          <w:tab w:val="left" w:pos="5387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г. Брянск</w:t>
        <w:tab/>
        <w:t xml:space="preserve">               </w:t>
        <w:tab/>
        <w:tab/>
        <w:t xml:space="preserve">                                       </w:t>
      </w:r>
    </w:p>
    <w:p>
      <w:pPr>
        <w:pStyle w:val="Normal"/>
        <w:spacing w:lineRule="exact" w:lin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549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90"/>
      </w:tblGrid>
      <w:tr>
        <w:trPr>
          <w:trHeight w:val="532" w:hRule="atLeast"/>
        </w:trPr>
        <w:tc>
          <w:tcPr>
            <w:tcW w:w="5490" w:type="dxa"/>
            <w:tcBorders/>
            <w:shd w:color="auto" w:fill="auto" w:val="clear"/>
          </w:tcPr>
          <w:p>
            <w:pPr>
              <w:pStyle w:val="311"/>
              <w:widowControl w:val="false"/>
              <w:tabs>
                <w:tab w:val="clear" w:pos="720"/>
                <w:tab w:val="left" w:pos="4820" w:leader="none"/>
              </w:tabs>
              <w:spacing w:lineRule="exact" w:line="274" w:before="0" w:after="22"/>
              <w:ind w:left="20" w:right="-108" w:hanging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 утверждении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 xml:space="preserve">орядка выбора способа расчета объема и (или) массы твердых коммунальных отходов </w:t>
            </w:r>
            <w:r>
              <w:rPr>
                <w:b w:val="false"/>
                <w:sz w:val="28"/>
              </w:rPr>
              <w:t>в целях расчетов по договорам на оказание услуг по обращению с    твердыми     коммунальными    отходами</w:t>
            </w:r>
          </w:p>
          <w:p>
            <w:pPr>
              <w:pStyle w:val="311"/>
              <w:widowControl w:val="false"/>
              <w:tabs>
                <w:tab w:val="clear" w:pos="720"/>
                <w:tab w:val="left" w:pos="4820" w:leader="none"/>
              </w:tabs>
              <w:spacing w:lineRule="exact" w:line="274" w:before="0" w:after="22"/>
              <w:ind w:left="20" w:right="-108" w:hanging="0"/>
              <w:jc w:val="both"/>
              <w:rPr>
                <w:sz w:val="28"/>
              </w:rPr>
            </w:pPr>
            <w:r>
              <w:rPr>
                <w:sz w:val="28"/>
              </w:rPr>
              <w:t>региональным оператором по обращению                  с твердыми коммунальными отходами                    и (или) потребителем услуги по обращению                с твердыми коммунальными отходами             на территории Брянской области</w:t>
            </w:r>
          </w:p>
        </w:tc>
      </w:tr>
    </w:tbl>
    <w:p>
      <w:pPr>
        <w:pStyle w:val="Normal"/>
        <w:spacing w:lineRule="exact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bCs/>
          <w:sz w:val="28"/>
          <w:szCs w:val="28"/>
        </w:rPr>
        <w:t xml:space="preserve">со </w:t>
      </w:r>
      <w:hyperlink r:id="rId3">
        <w:r>
          <w:rPr>
            <w:bCs/>
            <w:sz w:val="28"/>
            <w:szCs w:val="28"/>
          </w:rPr>
          <w:t>статьями 6</w:t>
        </w:r>
      </w:hyperlink>
      <w:r>
        <w:rPr>
          <w:bCs/>
          <w:sz w:val="28"/>
          <w:szCs w:val="28"/>
        </w:rPr>
        <w:t xml:space="preserve">, 24.10 Федерального закона от 24 июня                       1998 года № 89-ФЗ «Об отходах производства и потребления», </w:t>
      </w:r>
      <w:hyperlink r:id="rId4">
        <w:r>
          <w:rPr>
            <w:bCs/>
            <w:sz w:val="28"/>
            <w:szCs w:val="28"/>
          </w:rPr>
          <w:t xml:space="preserve">статьей </w:t>
        </w:r>
      </w:hyperlink>
      <w:r>
        <w:rPr>
          <w:bCs/>
          <w:sz w:val="28"/>
          <w:szCs w:val="28"/>
        </w:rPr>
        <w:t>3 Закона Брянской области от 11 мая 2006 года № 29-З «Об отходах производства и потребления», постановлением Правительства Российской Федерации от 24 мая 2024 года № 671 «О коммерческом учете объема и (или) массы твердых коммунальных отходов»</w:t>
      </w:r>
      <w:r>
        <w:rPr>
          <w:sz w:val="28"/>
          <w:szCs w:val="28"/>
        </w:rPr>
        <w:t xml:space="preserve"> 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>
      <w:pPr>
        <w:pStyle w:val="BodyTextIndent"/>
        <w:ind w:hanging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BodyText"/>
        <w:tabs>
          <w:tab w:val="clear" w:pos="720"/>
          <w:tab w:val="left" w:pos="1276" w:leader="none"/>
        </w:tabs>
        <w:spacing w:lineRule="exact" w:line="322"/>
        <w:ind w:right="23" w:firstLine="567"/>
        <w:rPr>
          <w:sz w:val="28"/>
          <w:szCs w:val="28"/>
        </w:rPr>
      </w:pPr>
      <w:r>
        <w:rPr>
          <w:sz w:val="28"/>
        </w:rPr>
        <w:t>1. Утвердить прилагаемый Порядок выбора способа расчета объема                  и (или) массы твердых коммунальных отходов в целях расчетов                                 по договорам 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                   с твердыми коммунальными отходами на территории Брянской области.</w:t>
      </w:r>
    </w:p>
    <w:p>
      <w:pPr>
        <w:pStyle w:val="BodyTextIndent"/>
        <w:ind w:firstLine="568"/>
        <w:rPr>
          <w:sz w:val="28"/>
          <w:szCs w:val="28"/>
        </w:rPr>
      </w:pPr>
      <w:r>
        <w:rPr>
          <w:sz w:val="28"/>
          <w:szCs w:val="28"/>
        </w:rPr>
        <w:t>2. Приказ вступает в силу после его официального опубликования.</w:t>
      </w:r>
    </w:p>
    <w:p>
      <w:pPr>
        <w:pStyle w:val="BodyTextInden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приказа возложить на заместителя директора департамента Фещукова А.А. </w:t>
      </w:r>
    </w:p>
    <w:p>
      <w:pPr>
        <w:pStyle w:val="BodyTextIndent"/>
        <w:ind w:firstLine="56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"/>
        <w:ind w:firstLine="56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    </w:t>
        <w:tab/>
        <w:t xml:space="preserve">                                                         А.В. Батарчук</w:t>
      </w:r>
    </w:p>
    <w:p>
      <w:pPr>
        <w:pStyle w:val="Normal"/>
        <w:tabs>
          <w:tab w:val="clear" w:pos="720"/>
          <w:tab w:val="left" w:pos="5364" w:leader="none"/>
          <w:tab w:val="left" w:pos="5640" w:leader="none"/>
          <w:tab w:val="right" w:pos="9514" w:leader="none"/>
        </w:tabs>
        <w:ind w:left="5103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департамента                                                                                     А.А. Фещуков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охраны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окружающей среды департамента                                                     В.В. Руденок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правового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 кадрового обеспечения департамента                                         Р.А. Петрунин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jc w:val="both"/>
        <w:rPr>
          <w:rFonts w:eastAsia="Calibri" w:eastAsiaTheme="minorHAnsi"/>
          <w:szCs w:val="24"/>
          <w:lang w:eastAsia="en-US"/>
        </w:rPr>
      </w:pPr>
      <w:r>
        <w:rPr>
          <w:rFonts w:eastAsia="Calibri" w:eastAsiaTheme="minorHAnsi"/>
          <w:szCs w:val="24"/>
          <w:lang w:eastAsia="en-US"/>
        </w:rPr>
        <w:t>О.А. Захарова</w:t>
      </w:r>
    </w:p>
    <w:p>
      <w:pPr>
        <w:pStyle w:val="Normal"/>
        <w:jc w:val="both"/>
        <w:rPr>
          <w:rFonts w:eastAsia="Calibri" w:eastAsiaTheme="minorHAnsi"/>
          <w:szCs w:val="24"/>
          <w:lang w:eastAsia="en-US"/>
        </w:rPr>
      </w:pPr>
      <w:r>
        <w:rPr>
          <w:rFonts w:eastAsia="Calibri" w:eastAsiaTheme="minorHAnsi"/>
          <w:szCs w:val="24"/>
          <w:lang w:eastAsia="en-US"/>
        </w:rPr>
        <w:t>8 (4832) 64 63 90</w:t>
      </w:r>
    </w:p>
    <w:p>
      <w:pPr>
        <w:pStyle w:val="Normal"/>
        <w:tabs>
          <w:tab w:val="clear" w:pos="720"/>
          <w:tab w:val="left" w:pos="5364" w:leader="none"/>
          <w:tab w:val="left" w:pos="5640" w:leader="none"/>
          <w:tab w:val="right" w:pos="9514" w:leader="none"/>
        </w:tabs>
        <w:ind w:left="5103" w:hanging="0"/>
        <w:rPr>
          <w:sz w:val="28"/>
          <w:szCs w:val="28"/>
        </w:rPr>
      </w:pPr>
      <w:r>
        <w:rPr>
          <w:sz w:val="28"/>
          <w:szCs w:val="28"/>
        </w:rPr>
        <w:t xml:space="preserve">Утвержден приказом </w:t>
      </w:r>
    </w:p>
    <w:p>
      <w:pPr>
        <w:pStyle w:val="Normal"/>
        <w:tabs>
          <w:tab w:val="clear" w:pos="720"/>
          <w:tab w:val="left" w:pos="5364" w:leader="none"/>
          <w:tab w:val="left" w:pos="5640" w:leader="none"/>
          <w:tab w:val="right" w:pos="9514" w:leader="none"/>
        </w:tabs>
        <w:ind w:left="5103" w:hanging="0"/>
        <w:rPr>
          <w:sz w:val="28"/>
          <w:szCs w:val="28"/>
        </w:rPr>
      </w:pPr>
      <w:r>
        <w:rPr>
          <w:sz w:val="28"/>
          <w:szCs w:val="28"/>
        </w:rPr>
        <w:t xml:space="preserve">департамента природных ресурсов </w:t>
      </w:r>
    </w:p>
    <w:p>
      <w:pPr>
        <w:pStyle w:val="Normal"/>
        <w:tabs>
          <w:tab w:val="clear" w:pos="720"/>
          <w:tab w:val="left" w:pos="5364" w:leader="none"/>
          <w:tab w:val="left" w:pos="5640" w:leader="none"/>
          <w:tab w:val="right" w:pos="9514" w:leader="none"/>
        </w:tabs>
        <w:ind w:left="4678" w:firstLine="425"/>
        <w:rPr>
          <w:sz w:val="28"/>
          <w:szCs w:val="28"/>
        </w:rPr>
      </w:pPr>
      <w:r>
        <w:rPr>
          <w:sz w:val="28"/>
          <w:szCs w:val="28"/>
        </w:rPr>
        <w:t xml:space="preserve">и экологии Брянской области </w:t>
      </w:r>
    </w:p>
    <w:p>
      <w:pPr>
        <w:pStyle w:val="Normal"/>
        <w:tabs>
          <w:tab w:val="clear" w:pos="720"/>
          <w:tab w:val="left" w:pos="5103" w:leader="none"/>
          <w:tab w:val="left" w:pos="5376" w:leader="none"/>
          <w:tab w:val="left" w:pos="5640" w:leader="none"/>
          <w:tab w:val="center" w:pos="7096" w:leader="none"/>
        </w:tabs>
        <w:ind w:left="4678" w:hanging="0"/>
        <w:rPr>
          <w:sz w:val="28"/>
          <w:szCs w:val="28"/>
        </w:rPr>
      </w:pPr>
      <w:r>
        <w:rPr>
          <w:sz w:val="28"/>
          <w:szCs w:val="28"/>
        </w:rPr>
        <w:tab/>
        <w:t>от ___________ 2025 года № 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2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Heading2"/>
        <w:jc w:val="center"/>
        <w:rPr>
          <w:b/>
          <w:sz w:val="28"/>
        </w:rPr>
      </w:pPr>
      <w:bookmarkStart w:id="0" w:name="P000C"/>
      <w:bookmarkEnd w:id="0"/>
      <w:r>
        <w:rPr>
          <w:rFonts w:ascii="Arial;sans-serif" w:hAnsi="Arial;sans-serif"/>
          <w:b w:val="false"/>
          <w:i w:val="false"/>
          <w:caps w:val="false"/>
          <w:smallCaps w:val="false"/>
          <w:color w:val="444444"/>
          <w:spacing w:val="0"/>
          <w:sz w:val="24"/>
        </w:rPr>
        <w:br/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 xml:space="preserve">Порядок выбора способа расчета объема и (или) массы твердых коммунальных отходов в целях расчетов по договорам на оказание услуг </w:t>
      </w:r>
    </w:p>
    <w:p>
      <w:pPr>
        <w:pStyle w:val="Heading2"/>
        <w:jc w:val="center"/>
        <w:rPr>
          <w:b/>
          <w:sz w:val="28"/>
        </w:rPr>
      </w:pP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</w:t>
      </w:r>
    </w:p>
    <w:p>
      <w:pPr>
        <w:pStyle w:val="Normal"/>
        <w:jc w:val="center"/>
        <w:rPr>
          <w:b/>
          <w:sz w:val="28"/>
        </w:rPr>
      </w:pP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на территории Брянской области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2520"/>
        <w:jc w:val="center"/>
        <w:rPr>
          <w:rFonts w:ascii="Times New Roman" w:hAnsi="Times New Roman" w:cs="Times New Roman"/>
          <w:b w:val="false"/>
          <w:bCs w:val="false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highlight w:val="white"/>
        </w:rPr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25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highlight w:val="white"/>
        </w:rPr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</w:rPr>
        <w:t>1.</w:t>
      </w: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</w:rPr>
        <w:t xml:space="preserve">Настоящий Порядок выбора способа расчета объема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и (или) массы</w:t>
      </w: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</w:rPr>
        <w:t xml:space="preserve">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(далее – региональный оператор) и (или) потребителем услуги по обращению                           с твердыми коммунальными отходами (далее – потребитель) на территории Брянской области (далее – Порядок)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устанавливает порядок выбора способа расчета объема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и (или) массы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</w:rPr>
        <w:t>твердых коммунальных отходов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целях расчетов по договорам на оказание услуг по обращению с твердыми коммунальными отходами (далее – договор) региональным оператором                     и (или) потребителем на территории Брянской области.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</w:rPr>
        <w:t>2.</w:t>
      </w: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highlight w:val="white"/>
        </w:rPr>
        <w:t>Для целей настоящего Порядка используются понятия в значениях, определенных Федеральным законом от 24 июня 1998 года № 89-ФЗ                             «Об отходах производства и потребления», постановлением Правительства Российской Федерации от 7 марта 2025 года № 293 «О порядке обращения                 с твердыми коммунальными отходами».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3. Коммерческому учету подлежат объем и (или) масса: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а) образованных твердых коммунальных отходов: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раздельно накопленных твердых коммунальных отходов;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твердых коммунальных отходов при совместном накоплении;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крупногабаритных отходов;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б) твердых коммунальных отходов, транспортируемых операторами               по обращению с твердыми коммунальными отходами;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в) твердых коммунальных отходов, поступающих на объекты обработки, обезвреживания, утилизации, в том числе энергетической утилизации, захоронения твердых коммунальных отходов                                            и транспортируемых с указанных объектов. 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4. Расчет объема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и (или) массы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твердых коммунальных отходов осуществляется одним из следующих способов:</w:t>
      </w:r>
    </w:p>
    <w:p>
      <w:pPr>
        <w:pStyle w:val="ConsPlusNormal"/>
        <w:widowControl/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1)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исходя из нормативов накопления твердых коммунальных отходов, выраженных в показателях объема и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</w:rPr>
        <w:t>(или) массы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и количества расчетных единиц, используемых при определении нормативов накопления твердых коммунальных отходов;</w:t>
      </w:r>
    </w:p>
    <w:p>
      <w:pPr>
        <w:pStyle w:val="ConsPlusNormal"/>
        <w:widowControl/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2)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исходя из количества и объема контейнеров, бункеров для накопления твердых коммунальных отходов, установленных в местах (площадках) накопления твердых коммунальных отходов, в которых осуществляется складирование твердых коммунальных отходов,                                   в показателях объема и (или) массы с учетом графика вывоза, а также                           с учетом средней плотности твердых коммунальных отходов (в случае, если коммерческий учет осуществляется в показателях массы).</w:t>
      </w:r>
    </w:p>
    <w:p>
      <w:pPr>
        <w:pStyle w:val="ConsPlusNormal"/>
        <w:widowControl/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5.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В соответствии с законодательством Российской Федерации расчет объема и (или) массы твердых коммунальных отходов в соответствии                        с подпунктом 2 пункта 4 Порядка осуществляется при наличии заключенного между потребителем и региональным оператором в письменной форме договора и наличии у потребителя места (площадки) накопления твердых коммунальных отходов, соответствующего следующим требованиям: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1)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складирование твердых коммунальных отходов в месте (площадке) накопления твердых коммунальных отходов осуществляется потребителем, являющимся единственным источником образования твердых коммунальных отходов;</w:t>
      </w:r>
    </w:p>
    <w:p>
      <w:pPr>
        <w:pStyle w:val="ConsPlusNormal"/>
        <w:widowControl/>
        <w:tabs>
          <w:tab w:val="clear" w:pos="720"/>
          <w:tab w:val="left" w:pos="1134" w:leader="none"/>
        </w:tabs>
        <w:spacing w:lineRule="auto" w:line="228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2)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место (площадка) накопления твердых коммунальных отходов внесено в реестр мест (площадок) накопления твердых коммунальных отходов муниципального образования в соответствии с законодательством Российской Федерации;</w:t>
      </w:r>
    </w:p>
    <w:p>
      <w:pPr>
        <w:pStyle w:val="ConsPlusNormal"/>
        <w:widowControl/>
        <w:tabs>
          <w:tab w:val="clear" w:pos="720"/>
          <w:tab w:val="left" w:pos="1134" w:leader="none"/>
        </w:tabs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3) место (площадка) накопления твердых коммунальных отходов оборудовано контейнерами и (или) бункерами для накопления твердых коммунальных отходов и соответствует требованиям, установленным законодательством Российской Федерации и Брянской области.</w:t>
      </w:r>
    </w:p>
    <w:p>
      <w:pPr>
        <w:pStyle w:val="ConsPlusNormal"/>
        <w:widowControl/>
        <w:tabs>
          <w:tab w:val="clear" w:pos="720"/>
          <w:tab w:val="left" w:pos="1134" w:leader="none"/>
        </w:tabs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6.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Изменение способа расчета объема и (или) массы твердых коммунальных отходов, установленного в соответствии с подпунктом 1 пункта 4 Порядка, на способ расчета объема и (или) массы твердых коммунальных отходов, установленный в соответствии с подпунктом 2 пункта 4 Порядка, осуществляется по заявлению потребителя или его представителя (далее - Заявление), направляемому региональному оператору при одновременном соблюдении следующих требований: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1)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наличие места (площадки) накопления твердых коммунальных отходов, соответствующего требованиям, указанным в пункте 5 настоящего Порядка;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2)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заключение в письменной форме договора, а при наличии ранее заключенного договора – заключение дополнительного соглашения                              к указанному договору.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7.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Изменение способа расчета объема и (или) массы твердых коммунальных отходов, установленного в соответствии с подпунктом 2 пункта 4 Порядка, на способ расчета объема и (или) массы твердых коммунальных отходов, установленный в соответствии с подпунктом 1 пункта 4 Порядка, осуществляется по Заявлению при соблюдении следующего требования: объем и (или) масса вывоза твердых коммунальных отходов за предыдущий календарный год не превышает годовой норматив накопления твердых коммунальных отходов, выраженный в показателях объема и (или) массы. 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8. Заявление должно содержать следующие сведения: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1) реквизиты потребителя: 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для юридического лица – полное наименование, основной государственный регистрационный номер записи в Едином государственном реестре юридических лиц и дата ее внесения в реестр, фактический адрес, индивидуальный номер налогоплательщика, банковские реквизиты;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для индивидуального предпринимателя – основной государственный регистрационный номер записи в Едином государственном реестре индивидуальных предпринимателей и дата ее внесения в реестр, адрес регистрации по месту жительства, индивидуальный номер налогоплательщика и банковские реквизиты;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для физического лица – фамилия, имя, отчество (последнее –                       при наличии), серия, номер и дата выдачи паспорта или иного документа, удостоверяющего личность гражданина Российской Федерации                             на территории Российской Федерации в соответствии с законодательством Российской Федерации, адрес регистрации по месту жительства                                    и контактные данные потребителя;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2)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наличие (отсутствие) заключенного с региональным оператором договора (реквизиты, дата заключения);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3)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расположение места (площадки) накопления твердых коммунальных отходов с приложением схемы проезда;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4) предлагаемый потребителем график вывоза твердых коммунальных отходов;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5)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способ получения корреспонденции от регионального оператора                 с указанием почтовых реквизитов.</w:t>
      </w:r>
    </w:p>
    <w:p>
      <w:pPr>
        <w:pStyle w:val="ConsPlusNormal"/>
        <w:widowControl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eastAsia="en-US"/>
        </w:rPr>
        <w:t>В случае подачи Заявления от имени потребителя его представителем                 к заявлению прилагаются документы, которые в соответствии с законодательством Российской Федерации подтверждают полномочия представителя потребителя на подачу заявления.</w:t>
      </w:r>
    </w:p>
    <w:p>
      <w:pPr>
        <w:pStyle w:val="ConsPlusNormal"/>
        <w:widowControl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9.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  <w:lang w:val="en-US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Направленное потребителем Заявление рассматривается в течение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10 рабочих дней со дня его поступления региональному оператору.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В случае если в Заявлении отсутствуют сведения и (или) к нему                       не приложены документы, предусмотренные пунктом 8 Порядка, региональный оператор в течение пяти рабочих дней со дня получения Заявления направляет потребителю уведомление в письменной форме                              о необходимости представить в течение 15 рабочих дней со дня получения им уведомления недостающие сведения и (или) документы,  приостановив рассмотрение заявления.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 xml:space="preserve">В случае если недостающие сведения и (или) документы, предусмотренные пунктом 8 Порядка, не представлены потребителем                         в течение 15 рабочих дней со дня получения им уведомления                                        о необходимости представить недостающие сведения и (или) документы, региональный оператор прекращает рассмотрение Заявления и в течение пяти рабочих дней со дня истечения срока, указанного в настоящем абзаце, возвращает его потребителю с указанием причин возврата.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Прекращение региональным оператором рассмотрения Заявления                         не препятствует повторному обращению потребителя после устранения причин возврата Заявления.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В случае если недостающие сведения и (или) документы, предусмотренные пунктом 8 Порядка, представлены потребителем в течение срока, указанного в абзаце втором настоящего пункта, региональный оператор возобновляет рассмотрение Заявления с учетом дополнительно представленных потребителем сведений и (или) документов.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Срок со дня направления региональным оператором потребителю уведомления о необходимости представления недостающих сведений и (или) документов до дня представления их потребителем региональному оператору не включается в срок рассмотрения Заявления, установленный абзацем первым настоящего пункта.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10.</w:t>
      </w:r>
      <w:r>
        <w:rPr>
          <w:rFonts w:cs="Times New Roman"/>
          <w:color w:val="000000"/>
          <w:sz w:val="28"/>
          <w:szCs w:val="28"/>
          <w:highlight w:val="white"/>
          <w:lang w:val="en-US" w:eastAsia="en-US"/>
        </w:rPr>
        <w:t> </w:t>
      </w: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По результатам рассмотрения Заявления региональный оператор принимает одно из следующих решений: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992" w:right="0" w:hanging="283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об удовлетворении Заявления;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992" w:right="0" w:hanging="283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об отказе в удовлетворении Заявления с указанием причин отказа.</w:t>
      </w:r>
    </w:p>
    <w:p>
      <w:pPr>
        <w:pStyle w:val="Normal"/>
        <w:numPr>
          <w:ilvl w:val="0"/>
        </w:numPr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11. В случае если в Заявлении имеются все необходимые сведения                     и к нему приложены документы, предусмотренные пунктом 8 Порядка, при отсутствии оснований для отказа в удовлетворении Заявления региональный оператор заключает с потребителем соответствующий договор или дополнительное соглашение к договору (при наличии ранее заключенного договора) в порядке, предусмотренном законодательством Российской Федерации.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13.</w:t>
      </w:r>
      <w:r>
        <w:rPr>
          <w:rFonts w:cs="Times New Roman"/>
          <w:color w:val="000000"/>
          <w:sz w:val="28"/>
          <w:szCs w:val="28"/>
          <w:highlight w:val="white"/>
          <w:lang w:val="en-US" w:eastAsia="en-US"/>
        </w:rPr>
        <w:t> </w:t>
      </w:r>
      <w:r>
        <w:rPr>
          <w:rFonts w:cs="Times New Roman"/>
          <w:color w:val="000000"/>
          <w:sz w:val="28"/>
          <w:szCs w:val="28"/>
          <w:highlight w:val="white"/>
          <w:lang w:eastAsia="en-US"/>
        </w:rPr>
        <w:t>При изменении способа расчета объема и (или) массы твердых коммунальных отходов новый способ применяется начиная с расчетного периода, следующего за расчетным периодом, в котором были подписаны договор или дополнительное соглашение к договору, если иное                                не установлено указанным договором или дополнительным соглашением                  к договору.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PT Astra Serif" w:hAnsi="PT Astra Serif" w:cs="Times New Roman"/>
          <w:color w:val="000000"/>
          <w:sz w:val="28"/>
          <w:szCs w:val="28"/>
          <w:highlight w:val="white"/>
          <w:lang w:eastAsia="en-US"/>
        </w:rPr>
      </w:pPr>
      <w:r>
        <w:rPr>
          <w:rFonts w:cs="Times New Roman" w:ascii="PT Astra Serif" w:hAnsi="PT Astra Serif"/>
          <w:color w:val="000000"/>
          <w:sz w:val="28"/>
          <w:szCs w:val="28"/>
          <w:highlight w:val="white"/>
          <w:lang w:eastAsia="en-US"/>
        </w:rPr>
        <w:t xml:space="preserve">14. Решение об отказе в удовлетворении Заявления принимается региональным оператором в случае несоблюдения требований, указанных                в подпункте 1 пункта 6 и пункте 7 Порядка, и </w:t>
      </w:r>
      <w:r>
        <w:rPr>
          <w:rFonts w:cs="Times New Roman"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eastAsia="en-US"/>
        </w:rPr>
        <w:t>с указанием причин отказа направляется региональным оператором потребителю в течение 15 рабочих дней со дня получения Заявления.</w:t>
      </w:r>
    </w:p>
    <w:sectPr>
      <w:headerReference w:type="default" r:id="rId5"/>
      <w:footerReference w:type="default" r:id="rId6"/>
      <w:type w:val="nextPage"/>
      <w:pgSz w:w="11906" w:h="16838"/>
      <w:pgMar w:left="1701" w:right="851" w:gutter="0" w:header="720" w:top="1135" w:footer="0" w:bottom="1135"/>
      <w:pgNumType w:start="1"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PT Astra Serif">
    <w:charset w:val="01"/>
    <w:family w:val="roman"/>
    <w:pitch w:val="variable"/>
  </w:font>
  <w:font w:name="Arial">
    <w:altName w:val="sans-serif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 xml:space="preserve"> </w:t>
    </w:r>
  </w:p>
  <w:p>
    <w:pPr>
      <w:pStyle w:val="Footer"/>
      <w:jc w:val="center"/>
      <w:rPr>
        <w:sz w:val="28"/>
        <w:szCs w:val="28"/>
      </w:rPr>
    </w:pPr>
    <w:r>
      <w:rPr>
        <w:sz w:val="28"/>
        <w:szCs w:val="2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41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doNotHyphenateCaps/>
  <w:hyphenationZone w:val="357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6305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66305a"/>
    <w:pPr>
      <w:keepNext w:val="true"/>
      <w:ind w:firstLine="426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66305a"/>
    <w:pPr>
      <w:keepNext w:val="true"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66305a"/>
    <w:pPr>
      <w:keepNext w:val="true"/>
      <w:tabs>
        <w:tab w:val="clear" w:pos="720"/>
        <w:tab w:val="left" w:pos="426" w:leader="none"/>
      </w:tabs>
      <w:ind w:left="5040" w:hanging="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66305a"/>
    <w:pPr>
      <w:keepNext w:val="true"/>
      <w:spacing w:lineRule="auto" w:line="360"/>
      <w:jc w:val="center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df2de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4f3fe1"/>
    <w:rPr>
      <w:color w:val="0000FF"/>
      <w:u w:val="single"/>
    </w:rPr>
  </w:style>
  <w:style w:type="character" w:styleId="Style4" w:customStyle="1">
    <w:name w:val="Основной текст с отступом Знак"/>
    <w:qFormat/>
    <w:rsid w:val="00394d19"/>
    <w:rPr>
      <w:sz w:val="24"/>
    </w:rPr>
  </w:style>
  <w:style w:type="character" w:styleId="Style5" w:customStyle="1">
    <w:name w:val="Верхний колонтитул Знак"/>
    <w:uiPriority w:val="99"/>
    <w:qFormat/>
    <w:rsid w:val="00a16c80"/>
    <w:rPr>
      <w:sz w:val="24"/>
    </w:rPr>
  </w:style>
  <w:style w:type="character" w:styleId="Style6" w:customStyle="1">
    <w:name w:val="Нижний колонтитул Знак"/>
    <w:uiPriority w:val="99"/>
    <w:qFormat/>
    <w:rsid w:val="00a16c80"/>
    <w:rPr>
      <w:sz w:val="24"/>
    </w:rPr>
  </w:style>
  <w:style w:type="character" w:styleId="3" w:customStyle="1">
    <w:name w:val="Основной текст (3)_"/>
    <w:link w:val="311"/>
    <w:qFormat/>
    <w:locked/>
    <w:rsid w:val="00e639eb"/>
    <w:rPr>
      <w:sz w:val="22"/>
      <w:szCs w:val="22"/>
      <w:lang w:bidi="ar-SA"/>
    </w:rPr>
  </w:style>
  <w:style w:type="character" w:styleId="WW8Num2z0">
    <w:name w:val="WW8Num2z0"/>
    <w:qFormat/>
    <w:rPr>
      <w:rFonts w:cs="Times New Roman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rsid w:val="0066305a"/>
    <w:pPr>
      <w:jc w:val="both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Noto Sans Devanagari"/>
    </w:rPr>
  </w:style>
  <w:style w:type="paragraph" w:styleId="BodyTextIndent">
    <w:name w:val="Body Text Indent"/>
    <w:basedOn w:val="Normal"/>
    <w:link w:val="Style4"/>
    <w:rsid w:val="0066305a"/>
    <w:pPr>
      <w:ind w:firstLine="426"/>
      <w:jc w:val="both"/>
    </w:pPr>
    <w:rPr/>
  </w:style>
  <w:style w:type="paragraph" w:styleId="BodyText2">
    <w:name w:val="Body Text 2"/>
    <w:basedOn w:val="Normal"/>
    <w:qFormat/>
    <w:rsid w:val="0066305a"/>
    <w:pPr>
      <w:spacing w:lineRule="auto" w:line="480"/>
      <w:jc w:val="both"/>
    </w:pPr>
    <w:rPr>
      <w:sz w:val="28"/>
    </w:rPr>
  </w:style>
  <w:style w:type="paragraph" w:styleId="BodyTextIndent2">
    <w:name w:val="Body Text Indent 2"/>
    <w:basedOn w:val="Normal"/>
    <w:qFormat/>
    <w:rsid w:val="0066305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66305a"/>
    <w:pPr/>
    <w:rPr>
      <w:sz w:val="28"/>
    </w:rPr>
  </w:style>
  <w:style w:type="paragraph" w:styleId="BodyTextIndent3">
    <w:name w:val="Body Text Indent 3"/>
    <w:basedOn w:val="Normal"/>
    <w:qFormat/>
    <w:rsid w:val="0066305a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qFormat/>
    <w:rsid w:val="003e7ee2"/>
    <w:pPr/>
    <w:rPr>
      <w:rFonts w:ascii="Tahoma" w:hAnsi="Tahoma" w:cs="Tahoma"/>
      <w:sz w:val="16"/>
      <w:szCs w:val="16"/>
    </w:rPr>
  </w:style>
  <w:style w:type="paragraph" w:styleId="CharChar1CharChar1CharChar" w:customStyle="1">
    <w:name w:val="Char Char Знак Знак1 Char Char1 Знак Знак Char Char"/>
    <w:basedOn w:val="Normal"/>
    <w:qFormat/>
    <w:rsid w:val="000b72ae"/>
    <w:pPr>
      <w:spacing w:beforeAutospacing="1" w:afterAutospacing="1"/>
    </w:pPr>
    <w:rPr>
      <w:rFonts w:ascii="Tahoma" w:hAnsi="Tahoma"/>
      <w:sz w:val="20"/>
      <w:lang w:val="en-US" w:eastAsia="en-US"/>
    </w:rPr>
  </w:style>
  <w:style w:type="paragraph" w:styleId="31" w:customStyle="1">
    <w:name w:val="Знак Знак3 Знак Знак Знак Знак"/>
    <w:basedOn w:val="Normal"/>
    <w:qFormat/>
    <w:rsid w:val="007037d1"/>
    <w:pPr>
      <w:spacing w:beforeAutospacing="1" w:afterAutospacing="1"/>
    </w:pPr>
    <w:rPr>
      <w:rFonts w:ascii="Tahoma" w:hAnsi="Tahoma"/>
      <w:sz w:val="20"/>
      <w:lang w:val="en-US" w:eastAsia="en-US"/>
    </w:rPr>
  </w:style>
  <w:style w:type="paragraph" w:styleId="Style9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rsid w:val="00a16c80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6"/>
    <w:uiPriority w:val="99"/>
    <w:rsid w:val="00a16c80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32" w:customStyle="1">
    <w:name w:val="Знак Знак3 Знак Знак Знак Знак Знак Знак"/>
    <w:basedOn w:val="Normal"/>
    <w:qFormat/>
    <w:rsid w:val="00e639eb"/>
    <w:pPr>
      <w:spacing w:beforeAutospacing="1" w:afterAutospacing="1"/>
    </w:pPr>
    <w:rPr>
      <w:rFonts w:ascii="Tahoma" w:hAnsi="Tahoma"/>
      <w:sz w:val="20"/>
      <w:lang w:val="en-US" w:eastAsia="en-US"/>
    </w:rPr>
  </w:style>
  <w:style w:type="paragraph" w:styleId="311" w:customStyle="1">
    <w:name w:val="Основной текст (3)1"/>
    <w:basedOn w:val="Normal"/>
    <w:link w:val="3"/>
    <w:qFormat/>
    <w:rsid w:val="00e639eb"/>
    <w:pPr>
      <w:shd w:val="clear" w:color="auto" w:fill="FFFFFF"/>
      <w:spacing w:lineRule="atLeast" w:line="240" w:before="0" w:after="180"/>
    </w:pPr>
    <w:rPr>
      <w:sz w:val="22"/>
      <w:szCs w:val="22"/>
    </w:rPr>
  </w:style>
  <w:style w:type="paragraph" w:styleId="ConsPlusNormal" w:customStyle="1">
    <w:name w:val="ConsPlusNormal"/>
    <w:qFormat/>
    <w:rsid w:val="00ed34d5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ru-RU" w:bidi="ar-SA"/>
    </w:rPr>
  </w:style>
  <w:style w:type="paragraph" w:styleId="1" w:customStyle="1">
    <w:name w:val="Обычный1"/>
    <w:qFormat/>
    <w:rsid w:val="003602a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4e40f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consultantplus://offline/ref=F24E234ABE0856ECB6C01F75E89CEC2C1DAEA638318D30C38D8CF180673993571FBE19ADAD658E9985E0903522AE07581D9AFDD7985CP9L" TargetMode="External"/><Relationship Id="rId4" Type="http://schemas.openxmlformats.org/officeDocument/2006/relationships/hyperlink" Target="consultantplus://offline/ref=F24E234ABE0856ECB6C00178FEF0B02118A7FA3731823B9CD6D3AADD3030990058F140EBEB6884CDD4A6C13929FD481C4F89FFD084CA340B0E5B275CPDL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B5E24-3B31-4554-B6A7-10136E67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758</TotalTime>
  <Application>AlterOffice/3.4.0.9$Linux_X86_64 LibreOffice_project/b8daf9e823b1a5463a2f48435ddc2e8696e7d4fc</Application>
  <AppVersion>15.0000</AppVersion>
  <Pages>6</Pages>
  <Words>1429</Words>
  <Characters>9994</Characters>
  <CharactersWithSpaces>12426</CharactersWithSpaces>
  <Paragraphs>72</Paragraphs>
  <Company>Комитет лицензирования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2024-02-20T08:30:00Z</dcterms:created>
  <dc:creator>User</dc:creator>
  <dc:description/>
  <dc:language>ru-RU</dc:language>
  <cp:lastModifiedBy>user</cp:lastModifiedBy>
  <cp:lastPrinted>2025-09-04T15:00:27Z</cp:lastPrinted>
  <dcterms:modified xsi:type="dcterms:W3CDTF">2025-09-08T14:27:00Z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